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CA" w:rsidRPr="00B52DCA" w:rsidRDefault="00B52DCA" w:rsidP="00B52DC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52D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Усилитель Агеева (25 Вт/8 Ом)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Предлагаемый вниманию читателей усилитель мощности звуковой частоты (УМЗЧ) разработан на основе технических решений и объединяет их наиболее ценные качества. Кроме того, в нем нейтрализован характерный для УМЗЧ такого типа источник нелинейных искажений, каким является процесс перезарядки входных емкостей ОУ при больших синфазных сигналах.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Напомним, что входная емкость ОУ (примерно 3 пФ) складывается из нескольких линейных и нелинейных компонентов. Один из них — емкость закрытого p-n-перехода затвор — сток полевого транзистора входного дифференциального каскада – существенно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нелинеен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. При работе УМЗЧ эта емкость (около 0,3 пФ) интенсивно перезаряжается и, если сигнал синусоидальный, в цепи затвора протекает значительный ток перезарядки (удвоенной частоты), создавая на элементах входной цепи ОУ соответствующее падение напряжения. Складываясь с входным сигналом, оно искажает его. Приведенное к входу значение второй гармоники U2, порождаемой процессом перезарядки емкости входного дифференциального каскада ОУ, как было установлено экспериментально, может быть оценено соотношением U2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=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А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ΔRfХ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(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Uсф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/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Uсф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max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)2, где А=0,5 X 10-12 Кл; ΔR – величина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разбаланса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сопротивлений цепей входов ОУ; f – частота синусоидального сигнала;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Uсф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– амплитуда синфазного сигнала. 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Если, например, f=10 кГц,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Uсф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=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Uсф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max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, ΔR = 100 кОм, то U2=0,5 мВ, а это значит, что при входном сигнале 1 УЗ коэффициент гармоник УМЗЧ, даже если нет других продуктов нелинейностей, составит 0,05 %. Ограничив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разбаланс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сопротивлений ΔR пределом 1 кОм, можно пренебречь вкладом процесса перезарядки входных емкостей ОУ в коэффициент гармоник УМЗЧ.</w:t>
      </w:r>
      <w:proofErr w:type="gramEnd"/>
    </w:p>
    <w:p w:rsidR="00B52DCA" w:rsidRPr="00B52DCA" w:rsidRDefault="00B52DCA" w:rsidP="00B52DCA">
      <w:pPr>
        <w:spacing w:after="0" w:line="240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val="en-US" w:eastAsia="ru-RU"/>
        </w:rPr>
        <w:lastRenderedPageBreak/>
        <w:t> </w:t>
      </w:r>
      <w:bookmarkStart w:id="0" w:name="_GoBack"/>
      <w:r>
        <w:rPr>
          <w:rFonts w:ascii="Verdana" w:eastAsia="Times New Roman" w:hAnsi="Verdana" w:cs="Arial"/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10093335" cy="5391150"/>
            <wp:effectExtent l="0" t="0" r="3175" b="0"/>
            <wp:docPr id="3" name="Рисунок 3" descr="um-ageeva ldsound_ru (1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m-ageeva ldsound_ru (1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333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52DCA" w:rsidRPr="00B52DCA" w:rsidRDefault="00B52DCA" w:rsidP="00B52DC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b/>
          <w:sz w:val="20"/>
          <w:szCs w:val="20"/>
          <w:lang w:eastAsia="ru-RU"/>
        </w:rPr>
        <w:t>Рис. 1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val="en-US" w:eastAsia="ru-RU"/>
        </w:rPr>
        <w:t> 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b/>
          <w:sz w:val="20"/>
          <w:szCs w:val="20"/>
          <w:lang w:eastAsia="ru-RU"/>
        </w:rPr>
        <w:t>Основные технические характеристики: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Номинальная выходная мощность на нагрузке сопротивлением 8 Ом: 25 Вт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Коэффициент гармоник в диапазоне частот 20 – 20000 Гц: не более 0,003 %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Скорость нарастания выходного напряжения: не менее 40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В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/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мкс</w:t>
      </w:r>
      <w:proofErr w:type="spellEnd"/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Номинальное входное напряжение: 0,7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В</w:t>
      </w:r>
      <w:proofErr w:type="gramEnd"/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lastRenderedPageBreak/>
        <w:t> 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Коэффициент гармоник измерялся анализатором спектра СК4-58, позволяющим регистрировать искажения, начиная с 0,03 %. Для расширения его динамического диапазона использовались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режекторные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фильтры, что позволило довести нижний предел измерений до 0,001 %. Точность измерений ограничивалась шумами испытательного генератора. Реальный коэффициент гармоник использованного генератора Г3-102 не превышал 0,003 %.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УМЗЧ состоит из двухкаскадного усилителя напряжения (ОУ DA1, DA2) и собственно усилителя мощности (VT1 – VT4). Каскады на ОУ DA1, DA2 питаются от идентичных источников, образованных элементами VD1, VD2, R6, R7, С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6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, С7 и VD3, VD4, R14, R15, С13, С14 [3]. Средние точки этих источников питания соединены с низкоомным делителем напряжения R5R12R20, подключенным к выходу УМЗЧ, чем обеспечивается подача отслеживающих потенциалов в каскады усилителя напряжения. Цепи R16C8 и R19C10 фильтруют напряжения, питающие первые каскады, от порождаемых сигналом нелинейных пульсаций в цепях питания выходного каскада.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Каскад на ОУ DA1 охвачен 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местной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ООС (R2, R4) и усиливает сигнал в. 10 раз. Поскольку на выходе каскада имеется постоянное напряжение около 1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В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, он отделен от входа ОУ DA2 конденсатором С5.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Второй каскад (DA2) совместно с выходным (VT1—VT4) усиливает напряжение сигнала только в 2 раза. Коэффициент усиления этого ОУ «расходуется», таким образом, только на линеаризацию выходного каскада. Последний представляет собой известный параллельный усилитель. Резисторы R17, R18, R25, R26 корректируют его АЧХ в области высших частот.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Активные сопротивления входных цепей ОУ DA1 согласованы с точностью около 1 кОм, т. е. ΔR=|R3—R2llR4|»0 (предполагается, что источник сигнала обладает низким выходным сопротивлением). Так же согласованы сопротивления входных цепей и второго каскада (ΔR=|R11 — R9||R13|»0). Элементы R3, С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2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образуют входной фильтр нижних частот с частотой среза 110 кГц. Конденсатор СЗ улучшает переходную характеристику первого каскада. Элементы С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4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, R10 и С9, С11, С12 корректируют АЧХ усилителя напряжения.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Коэффициенты усиления каскадов и коэффициенты передачи делителя R5R12R20 выбраны таким образом, чтобы амплитуды синфазных входных и выходных напряжений каждого из ОУ (относительно соответствующих средних точек их «плавающих» источников питания) были равны примерно четверти амплитуды выходного напряжения. В описываемом УМЗЧ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амплитудпые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характеристики ОУ используются менее чем наполовину, в то время как уровень ограничения усилителя напряжения равен ±50 В. И это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.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в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ообще говоря, не предел: вполне реальным представляется четырехкаскадный усилитель напряжения с уровнем ограничения ±100 В.</w:t>
      </w:r>
    </w:p>
    <w:p w:rsidR="00B52DCA" w:rsidRPr="00B52DCA" w:rsidRDefault="00B52DCA" w:rsidP="00B52DCA">
      <w:pPr>
        <w:spacing w:after="0" w:line="240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 </w:t>
      </w:r>
      <w:r>
        <w:rPr>
          <w:rFonts w:ascii="Verdana" w:eastAsia="Times New Roman" w:hAnsi="Verdana" w:cs="Arial"/>
          <w:noProof/>
          <w:sz w:val="20"/>
          <w:szCs w:val="20"/>
          <w:lang w:eastAsia="ru-RU"/>
        </w:rPr>
        <w:drawing>
          <wp:inline distT="0" distB="0" distL="0" distR="0">
            <wp:extent cx="3152775" cy="2571750"/>
            <wp:effectExtent l="0" t="0" r="9525" b="0"/>
            <wp:docPr id="2" name="Рисунок 2" descr="um-ageeva ldsound_ru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m-ageeva ldsound_ru (2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DCA" w:rsidRPr="00B52DCA" w:rsidRDefault="00B52DCA" w:rsidP="00B52DC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b/>
          <w:sz w:val="20"/>
          <w:szCs w:val="20"/>
          <w:lang w:eastAsia="ru-RU"/>
        </w:rPr>
        <w:t>Рис. 2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 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lastRenderedPageBreak/>
        <w:t>Как показали испытания, при питании напряжениями более ± 35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В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выходной каскад УМЗЧ становится неустойчивым, так как рабочие точки транзисторов приближаются к границе области безопасных режимов. Стабилизировать режим работы оконечных транзисторов можно, включив в эмиттерные цепи резисторы, как показано на рис. 2. Однако при этом резко уменьшается их ток покоя, что приводит к значительному увеличению коэффициента гармоник. Ослабить последствия введения резисторов удалось заменой транзисторов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предоконечного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каскада на транзисторы серии КТ814 и КТ815, у которых площадь переходов намного меньше, чем у КТ818. КТ819 (на таких переходах создаются большие падения напряжения, что и позволяет увеличить ток покоя транзисторов VT3, VT4). В каскаде по схеме на рис. 2 ток покоя транзисторов VT3, VT4 – примерно 0,2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А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, а всего УМЗЧ – 0,4 А. Повышение питающих напряжений до ±40 В увеличило выходную мощность (на той же нагрузке) до 50 Вт при коэффициенте гармоник на частотах 2 и 10 кГц соответственно не более 0,007 и 0,015 %. Номинальное входное напряжение УМЗЧ с таким выходным каскадом — 1 В.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Конструкция и детали. В усилителе применены конденсаторы КМ (С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2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– С4, С9, С11, С12), МБМ (C1, С5, С15, С16) и К50-6 (остальные); резисторы МЛТ (R21 – R24 составлены из трех резисторов МЛТ-1 сопротивлением 75 Ом). В выходном каскаде можно использовать транзисторы указанных на схеме серий с индексом Г (статический коэффициент передачи тока h21э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транзнсторов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 VT3, VT4 должен быть не менее 30). В усилителе напряжения возможно применение ОУ К140УД8, К544УД1, однако коэффициент гармоник в этом случае возрастет примерно втрое. Стабилитроны KC515A можно заменить двумя соединенными последовательно стабилитронами Д814А.</w:t>
      </w:r>
    </w:p>
    <w:p w:rsidR="00B52DCA" w:rsidRPr="00B52DCA" w:rsidRDefault="00B52DCA" w:rsidP="00B52DCA">
      <w:pPr>
        <w:spacing w:after="0" w:line="240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lastRenderedPageBreak/>
        <w:t> </w:t>
      </w:r>
      <w:r>
        <w:rPr>
          <w:rFonts w:ascii="Verdana" w:eastAsia="Times New Roman" w:hAnsi="Verdana" w:cs="Arial"/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5562600" cy="4467225"/>
            <wp:effectExtent l="0" t="0" r="0" b="9525"/>
            <wp:docPr id="1" name="Рисунок 1" descr="um-ageeva ldsound_ru (3)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m-ageeva ldsound_ru (3)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DCA" w:rsidRPr="00B52DCA" w:rsidRDefault="00B52DCA" w:rsidP="00B52DC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b/>
          <w:sz w:val="20"/>
          <w:szCs w:val="20"/>
          <w:lang w:eastAsia="ru-RU"/>
        </w:rPr>
        <w:t>Рис. 3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 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Детали УМЗЧ смонтированы па двух печатных платах из фольгированного стеклотекстолита (рис. 3): на одной из них (рис. 3, а) размещены детали усилителя напряжения, на другой (рис. 3, б) – резисторы R16, R19, R21-R26 и конденсаторы С17, С18 (это предотвращает нагрев элементов усилителя напряжения теплом, выделяемым названными резисторами). Дли повышения надежности УМЗЧ микросхемы DA1, DA2 следует снабдить легкими ребристыми теплоотводами с площадью охлаждения около 8 см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2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. Транзисторы выходного каскада устанавливают попарно (VT1 и VT4, VT2 и VT3), вплотную один к другому, на теплоотводах с. эффективной площадью охлаждения около 300 см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2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. Для уменьшения наводок, создаваемых токами выходного каскада, каждый транзистор следует соединить с платой тремя сплетенными проводами. Такие же или скрученные провода необходимо использовать и для соединения УМЗЧ с внешними устройствами. Конденсаторы С19, С20 размещают как можно ближе, к плате. С источником питания ее соединяют на выводах этих конденсаторов.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Питать оба варианта УМЗЧ можно от нестабилизированного источника, напряжения которого (под нагрузкой) меньше указанных на схемах на 10 %.</w:t>
      </w:r>
    </w:p>
    <w:p w:rsidR="00B52DCA" w:rsidRPr="00B52DCA" w:rsidRDefault="00B52DCA" w:rsidP="00B52DC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lastRenderedPageBreak/>
        <w:t xml:space="preserve">Правильно собранные УМЗЧ налаживания не требуют. Их параметры в основном зависят от рациональности конструкции [5] </w:t>
      </w:r>
      <w:proofErr w:type="spell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и</w:t>
      </w:r>
      <w:proofErr w:type="gramStart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.с</w:t>
      </w:r>
      <w:proofErr w:type="gram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ледовательно</w:t>
      </w:r>
      <w:proofErr w:type="spellEnd"/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, от опыта радиолюбителя.</w:t>
      </w:r>
    </w:p>
    <w:p w:rsidR="00B52DCA" w:rsidRPr="00B52DCA" w:rsidRDefault="00B52DCA" w:rsidP="00B52DC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> </w:t>
      </w:r>
    </w:p>
    <w:p w:rsidR="00B52DCA" w:rsidRPr="00B52DCA" w:rsidRDefault="00B52DCA" w:rsidP="00B52DC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DCA">
        <w:rPr>
          <w:rFonts w:ascii="Verdana" w:eastAsia="Times New Roman" w:hAnsi="Verdana" w:cs="Arial"/>
          <w:sz w:val="20"/>
          <w:szCs w:val="20"/>
          <w:lang w:eastAsia="ru-RU"/>
        </w:rPr>
        <w:t xml:space="preserve">Автор: </w:t>
      </w:r>
      <w:r w:rsidRPr="00B52DCA">
        <w:rPr>
          <w:rFonts w:ascii="Verdana" w:eastAsia="Times New Roman" w:hAnsi="Verdana" w:cs="Arial"/>
          <w:b/>
          <w:sz w:val="20"/>
          <w:szCs w:val="20"/>
          <w:lang w:eastAsia="ru-RU"/>
        </w:rPr>
        <w:t>Агеев А.А.</w:t>
      </w:r>
    </w:p>
    <w:p w:rsidR="0043587C" w:rsidRDefault="00B078C0"/>
    <w:sectPr w:rsidR="0043587C" w:rsidSect="00B52D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8C0" w:rsidRDefault="00B078C0" w:rsidP="00074500">
      <w:pPr>
        <w:spacing w:after="0" w:line="240" w:lineRule="auto"/>
      </w:pPr>
      <w:r>
        <w:separator/>
      </w:r>
    </w:p>
  </w:endnote>
  <w:endnote w:type="continuationSeparator" w:id="0">
    <w:p w:rsidR="00B078C0" w:rsidRDefault="00B078C0" w:rsidP="00074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8C0" w:rsidRDefault="00B078C0" w:rsidP="00074500">
      <w:pPr>
        <w:spacing w:after="0" w:line="240" w:lineRule="auto"/>
      </w:pPr>
      <w:r>
        <w:separator/>
      </w:r>
    </w:p>
  </w:footnote>
  <w:footnote w:type="continuationSeparator" w:id="0">
    <w:p w:rsidR="00B078C0" w:rsidRDefault="00B078C0" w:rsidP="00074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0B1"/>
    <w:rsid w:val="00074500"/>
    <w:rsid w:val="006F329D"/>
    <w:rsid w:val="00B078C0"/>
    <w:rsid w:val="00B52DCA"/>
    <w:rsid w:val="00BD2B15"/>
    <w:rsid w:val="00CB2B27"/>
    <w:rsid w:val="00D27E7D"/>
    <w:rsid w:val="00E4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2D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D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2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D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4500"/>
  </w:style>
  <w:style w:type="paragraph" w:styleId="a8">
    <w:name w:val="footer"/>
    <w:basedOn w:val="a"/>
    <w:link w:val="a9"/>
    <w:uiPriority w:val="99"/>
    <w:unhideWhenUsed/>
    <w:rsid w:val="0007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45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2D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D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2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D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4500"/>
  </w:style>
  <w:style w:type="paragraph" w:styleId="a8">
    <w:name w:val="footer"/>
    <w:basedOn w:val="a"/>
    <w:link w:val="a9"/>
    <w:uiPriority w:val="99"/>
    <w:unhideWhenUsed/>
    <w:rsid w:val="0007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4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6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dsound.ru/wp-content/uploads/2013/05/um-ageeva-ldsound_ru-1.jp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yperlink" Target="http://ldsound.ru/wp-content/uploads/2013/05/um-ageeva-ldsound_ru-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6</cp:revision>
  <dcterms:created xsi:type="dcterms:W3CDTF">2017-11-15T16:04:00Z</dcterms:created>
  <dcterms:modified xsi:type="dcterms:W3CDTF">2017-11-15T16:14:00Z</dcterms:modified>
</cp:coreProperties>
</file>